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snapToGrid w:val="0"/>
        <w:spacing w:beforeAutospacing="0" w:afterAutospacing="0"/>
        <w:rPr>
          <w:rFonts w:hint="eastAsia" w:ascii="黑体" w:hAnsi="黑体" w:eastAsia="黑体" w:cs="黑体"/>
          <w:sz w:val="32"/>
          <w:szCs w:val="32"/>
        </w:rPr>
      </w:pPr>
      <w:r>
        <w:rPr>
          <w:rFonts w:hint="eastAsia" w:ascii="黑体" w:hAnsi="黑体" w:eastAsia="黑体" w:cs="黑体"/>
          <w:sz w:val="32"/>
          <w:szCs w:val="32"/>
        </w:rPr>
        <w:t>附件</w:t>
      </w:r>
    </w:p>
    <w:p>
      <w:pPr>
        <w:pStyle w:val="4"/>
        <w:widowControl w:val="0"/>
        <w:snapToGrid w:val="0"/>
        <w:spacing w:beforeAutospacing="0" w:afterAutospacing="0"/>
        <w:jc w:val="center"/>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sz w:val="40"/>
          <w:szCs w:val="48"/>
        </w:rPr>
        <w:t>省安委会2020年挂牌督办重大安全隐患一览表</w:t>
      </w:r>
    </w:p>
    <w:tbl>
      <w:tblPr>
        <w:tblStyle w:val="6"/>
        <w:tblW w:w="13481" w:type="dxa"/>
        <w:jc w:val="center"/>
        <w:tblInd w:w="0" w:type="dxa"/>
        <w:tblLayout w:type="fixed"/>
        <w:tblCellMar>
          <w:top w:w="15" w:type="dxa"/>
          <w:left w:w="15" w:type="dxa"/>
          <w:bottom w:w="15" w:type="dxa"/>
          <w:right w:w="15" w:type="dxa"/>
        </w:tblCellMar>
      </w:tblPr>
      <w:tblGrid>
        <w:gridCol w:w="422"/>
        <w:gridCol w:w="1312"/>
        <w:gridCol w:w="1376"/>
        <w:gridCol w:w="3454"/>
        <w:gridCol w:w="2551"/>
        <w:gridCol w:w="1377"/>
        <w:gridCol w:w="909"/>
        <w:gridCol w:w="1025"/>
        <w:gridCol w:w="1055"/>
      </w:tblGrid>
      <w:tr>
        <w:tblPrEx>
          <w:tblLayout w:type="fixed"/>
          <w:tblCellMar>
            <w:top w:w="15" w:type="dxa"/>
            <w:left w:w="15" w:type="dxa"/>
            <w:bottom w:w="15" w:type="dxa"/>
            <w:right w:w="15" w:type="dxa"/>
          </w:tblCellMar>
        </w:tblPrEx>
        <w:trPr>
          <w:trHeight w:val="748" w:hRule="atLeast"/>
          <w:tblHeader/>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仿宋" w:eastAsia="仿宋_GB2312" w:cs="仿宋"/>
                <w:b/>
                <w:color w:val="333333"/>
                <w:szCs w:val="21"/>
              </w:rPr>
            </w:pPr>
            <w:r>
              <w:rPr>
                <w:rFonts w:hint="eastAsia" w:ascii="仿宋_GB2312" w:hAnsi="仿宋" w:eastAsia="仿宋_GB2312" w:cs="仿宋"/>
                <w:b/>
                <w:color w:val="333333"/>
                <w:kern w:val="0"/>
                <w:szCs w:val="21"/>
                <w:lang w:bidi="ar"/>
              </w:rPr>
              <w:t>总序</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宋体"/>
                <w:b/>
                <w:color w:val="333333"/>
                <w:szCs w:val="21"/>
              </w:rPr>
            </w:pPr>
            <w:r>
              <w:rPr>
                <w:rFonts w:hint="eastAsia" w:ascii="仿宋_GB2312" w:hAnsi="宋体" w:eastAsia="仿宋_GB2312" w:cs="宋体"/>
                <w:b/>
                <w:color w:val="333333"/>
                <w:kern w:val="0"/>
                <w:szCs w:val="21"/>
                <w:lang w:bidi="ar"/>
              </w:rPr>
              <w:t>单位隐患名称</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宋体"/>
                <w:b/>
                <w:color w:val="333333"/>
                <w:szCs w:val="21"/>
              </w:rPr>
            </w:pPr>
            <w:r>
              <w:rPr>
                <w:rFonts w:hint="eastAsia" w:ascii="仿宋_GB2312" w:hAnsi="宋体" w:eastAsia="仿宋_GB2312" w:cs="宋体"/>
                <w:b/>
                <w:color w:val="333333"/>
                <w:kern w:val="0"/>
                <w:szCs w:val="21"/>
                <w:lang w:bidi="ar"/>
              </w:rPr>
              <w:t>地址</w:t>
            </w:r>
          </w:p>
        </w:tc>
        <w:tc>
          <w:tcPr>
            <w:tcW w:w="345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宋体"/>
                <w:b/>
                <w:color w:val="333333"/>
                <w:szCs w:val="21"/>
              </w:rPr>
            </w:pPr>
            <w:r>
              <w:rPr>
                <w:rFonts w:hint="eastAsia" w:ascii="仿宋_GB2312" w:hAnsi="宋体" w:eastAsia="仿宋_GB2312" w:cs="宋体"/>
                <w:b/>
                <w:color w:val="333333"/>
                <w:kern w:val="0"/>
                <w:szCs w:val="21"/>
                <w:lang w:bidi="ar"/>
              </w:rPr>
              <w:t>隐患主要内容</w:t>
            </w:r>
          </w:p>
        </w:tc>
        <w:tc>
          <w:tcPr>
            <w:tcW w:w="255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宋体"/>
                <w:b/>
                <w:color w:val="333333"/>
                <w:szCs w:val="21"/>
              </w:rPr>
            </w:pPr>
            <w:r>
              <w:rPr>
                <w:rFonts w:hint="eastAsia" w:ascii="仿宋_GB2312" w:hAnsi="宋体" w:eastAsia="仿宋_GB2312" w:cs="宋体"/>
                <w:b/>
                <w:color w:val="333333"/>
                <w:kern w:val="0"/>
                <w:szCs w:val="21"/>
                <w:lang w:bidi="ar"/>
              </w:rPr>
              <w:t>整改要求</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宋体"/>
                <w:b/>
                <w:color w:val="333333"/>
                <w:kern w:val="0"/>
                <w:szCs w:val="21"/>
                <w:lang w:bidi="ar"/>
              </w:rPr>
            </w:pPr>
            <w:r>
              <w:rPr>
                <w:rFonts w:hint="eastAsia" w:ascii="仿宋_GB2312" w:hAnsi="宋体" w:eastAsia="仿宋_GB2312" w:cs="宋体"/>
                <w:b/>
                <w:color w:val="333333"/>
                <w:kern w:val="0"/>
                <w:szCs w:val="21"/>
                <w:lang w:bidi="ar"/>
              </w:rPr>
              <w:t>责任</w:t>
            </w:r>
          </w:p>
          <w:p>
            <w:pPr>
              <w:widowControl/>
              <w:spacing w:line="300" w:lineRule="exact"/>
              <w:jc w:val="center"/>
              <w:textAlignment w:val="center"/>
              <w:rPr>
                <w:rFonts w:hint="eastAsia" w:ascii="仿宋_GB2312" w:hAnsi="宋体" w:eastAsia="仿宋_GB2312" w:cs="宋体"/>
                <w:b/>
                <w:color w:val="333333"/>
                <w:szCs w:val="21"/>
              </w:rPr>
            </w:pPr>
            <w:r>
              <w:rPr>
                <w:rFonts w:hint="eastAsia" w:ascii="仿宋_GB2312" w:hAnsi="宋体" w:eastAsia="仿宋_GB2312" w:cs="宋体"/>
                <w:b/>
                <w:color w:val="333333"/>
                <w:kern w:val="0"/>
                <w:szCs w:val="21"/>
                <w:lang w:bidi="ar"/>
              </w:rPr>
              <w:t>单位</w:t>
            </w:r>
          </w:p>
        </w:tc>
        <w:tc>
          <w:tcPr>
            <w:tcW w:w="9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宋体"/>
                <w:b/>
                <w:color w:val="333333"/>
                <w:kern w:val="0"/>
                <w:szCs w:val="21"/>
                <w:lang w:bidi="ar"/>
              </w:rPr>
            </w:pPr>
            <w:r>
              <w:rPr>
                <w:rFonts w:hint="eastAsia" w:ascii="仿宋_GB2312" w:hAnsi="宋体" w:eastAsia="仿宋_GB2312" w:cs="宋体"/>
                <w:b/>
                <w:color w:val="333333"/>
                <w:kern w:val="0"/>
                <w:szCs w:val="21"/>
                <w:lang w:bidi="ar"/>
              </w:rPr>
              <w:t>督办</w:t>
            </w:r>
          </w:p>
          <w:p>
            <w:pPr>
              <w:widowControl/>
              <w:spacing w:line="300" w:lineRule="exact"/>
              <w:jc w:val="center"/>
              <w:textAlignment w:val="center"/>
              <w:rPr>
                <w:rFonts w:hint="eastAsia" w:ascii="仿宋_GB2312" w:hAnsi="宋体" w:eastAsia="仿宋_GB2312" w:cs="宋体"/>
                <w:b/>
                <w:color w:val="333333"/>
                <w:szCs w:val="21"/>
              </w:rPr>
            </w:pPr>
            <w:r>
              <w:rPr>
                <w:rFonts w:hint="eastAsia" w:ascii="仿宋_GB2312" w:hAnsi="宋体" w:eastAsia="仿宋_GB2312" w:cs="宋体"/>
                <w:b/>
                <w:color w:val="333333"/>
                <w:kern w:val="0"/>
                <w:szCs w:val="21"/>
                <w:lang w:bidi="ar"/>
              </w:rPr>
              <w:t>市州</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宋体"/>
                <w:b/>
                <w:color w:val="333333"/>
                <w:kern w:val="0"/>
                <w:szCs w:val="21"/>
                <w:lang w:bidi="ar"/>
              </w:rPr>
            </w:pPr>
            <w:r>
              <w:rPr>
                <w:rFonts w:hint="eastAsia" w:ascii="仿宋_GB2312" w:hAnsi="宋体" w:eastAsia="仿宋_GB2312" w:cs="宋体"/>
                <w:b/>
                <w:color w:val="333333"/>
                <w:kern w:val="0"/>
                <w:szCs w:val="21"/>
                <w:lang w:bidi="ar"/>
              </w:rPr>
              <w:t>督办</w:t>
            </w:r>
          </w:p>
          <w:p>
            <w:pPr>
              <w:widowControl/>
              <w:spacing w:line="300" w:lineRule="exact"/>
              <w:jc w:val="center"/>
              <w:textAlignment w:val="center"/>
              <w:rPr>
                <w:rFonts w:hint="eastAsia" w:ascii="仿宋_GB2312" w:hAnsi="宋体" w:eastAsia="仿宋_GB2312" w:cs="宋体"/>
                <w:b/>
                <w:color w:val="333333"/>
                <w:szCs w:val="21"/>
              </w:rPr>
            </w:pPr>
            <w:r>
              <w:rPr>
                <w:rFonts w:hint="eastAsia" w:ascii="仿宋_GB2312" w:hAnsi="宋体" w:eastAsia="仿宋_GB2312" w:cs="宋体"/>
                <w:b/>
                <w:color w:val="333333"/>
                <w:kern w:val="0"/>
                <w:szCs w:val="21"/>
                <w:lang w:bidi="ar"/>
              </w:rPr>
              <w:t>厅局</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宋体"/>
                <w:b/>
                <w:color w:val="333333"/>
                <w:kern w:val="0"/>
                <w:szCs w:val="21"/>
                <w:lang w:bidi="ar"/>
              </w:rPr>
            </w:pPr>
            <w:r>
              <w:rPr>
                <w:rFonts w:hint="eastAsia" w:ascii="仿宋_GB2312" w:hAnsi="宋体" w:eastAsia="仿宋_GB2312" w:cs="宋体"/>
                <w:b/>
                <w:color w:val="333333"/>
                <w:kern w:val="0"/>
                <w:szCs w:val="21"/>
                <w:lang w:bidi="ar"/>
              </w:rPr>
              <w:t>完成</w:t>
            </w:r>
          </w:p>
          <w:p>
            <w:pPr>
              <w:widowControl/>
              <w:spacing w:line="300" w:lineRule="exact"/>
              <w:jc w:val="center"/>
              <w:textAlignment w:val="center"/>
              <w:rPr>
                <w:rFonts w:hint="eastAsia" w:ascii="仿宋_GB2312" w:hAnsi="宋体" w:eastAsia="仿宋_GB2312" w:cs="宋体"/>
                <w:b/>
                <w:color w:val="333333"/>
                <w:szCs w:val="21"/>
              </w:rPr>
            </w:pPr>
            <w:r>
              <w:rPr>
                <w:rFonts w:hint="eastAsia" w:ascii="仿宋_GB2312" w:hAnsi="宋体" w:eastAsia="仿宋_GB2312" w:cs="宋体"/>
                <w:b/>
                <w:color w:val="333333"/>
                <w:kern w:val="0"/>
                <w:szCs w:val="21"/>
                <w:lang w:bidi="ar"/>
              </w:rPr>
              <w:t>时间</w:t>
            </w:r>
          </w:p>
        </w:tc>
      </w:tr>
      <w:tr>
        <w:tblPrEx>
          <w:tblLayout w:type="fixed"/>
          <w:tblCellMar>
            <w:top w:w="15" w:type="dxa"/>
            <w:left w:w="15" w:type="dxa"/>
            <w:bottom w:w="15" w:type="dxa"/>
            <w:right w:w="15" w:type="dxa"/>
          </w:tblCellMar>
        </w:tblPrEx>
        <w:trPr>
          <w:trHeight w:val="636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仿宋" w:eastAsia="仿宋_GB2312" w:cs="仿宋"/>
                <w:kern w:val="0"/>
                <w:szCs w:val="21"/>
                <w:lang w:bidi="ar"/>
              </w:rPr>
            </w:pPr>
            <w:r>
              <w:rPr>
                <w:rFonts w:hint="eastAsia" w:ascii="仿宋_GB2312" w:hAnsi="宋体" w:eastAsia="仿宋_GB2312" w:cs="仿宋_GB2312"/>
                <w:color w:val="000000"/>
                <w:kern w:val="0"/>
                <w:szCs w:val="21"/>
                <w:lang w:bidi="ar"/>
              </w:rPr>
              <w:t>1</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kern w:val="0"/>
                <w:szCs w:val="21"/>
                <w:lang w:bidi="ar"/>
              </w:rPr>
            </w:pPr>
            <w:r>
              <w:rPr>
                <w:rFonts w:hint="eastAsia" w:ascii="仿宋_GB2312" w:hAnsi="宋体" w:eastAsia="仿宋_GB2312" w:cs="仿宋_GB2312"/>
                <w:color w:val="000000"/>
                <w:kern w:val="0"/>
                <w:szCs w:val="21"/>
                <w:lang w:bidi="ar"/>
              </w:rPr>
              <w:t>武汉市江夏区金水办事处金康庭苑小区</w:t>
            </w:r>
            <w:r>
              <w:rPr>
                <w:rStyle w:val="7"/>
                <w:rFonts w:hint="eastAsia" w:ascii="仿宋_GB2312" w:eastAsia="仿宋_GB2312"/>
                <w:sz w:val="21"/>
                <w:szCs w:val="21"/>
                <w:lang w:bidi="ar"/>
              </w:rPr>
              <w:t>消防安全隐患</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kern w:val="0"/>
                <w:szCs w:val="21"/>
                <w:lang w:bidi="ar"/>
              </w:rPr>
            </w:pPr>
            <w:r>
              <w:rPr>
                <w:rFonts w:hint="eastAsia" w:ascii="仿宋_GB2312" w:hAnsi="宋体" w:eastAsia="仿宋_GB2312" w:cs="仿宋_GB2312"/>
                <w:color w:val="000000"/>
                <w:kern w:val="0"/>
                <w:szCs w:val="21"/>
                <w:lang w:bidi="ar"/>
              </w:rPr>
              <w:t>江夏区金水办事处金康庭苑小区</w:t>
            </w:r>
          </w:p>
        </w:tc>
        <w:tc>
          <w:tcPr>
            <w:tcW w:w="345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kern w:val="0"/>
                <w:szCs w:val="21"/>
                <w:lang w:bidi="ar"/>
              </w:rPr>
            </w:pPr>
            <w:r>
              <w:rPr>
                <w:rFonts w:hint="eastAsia" w:ascii="仿宋_GB2312" w:hAnsi="宋体" w:eastAsia="仿宋_GB2312" w:cs="仿宋_GB2312"/>
                <w:color w:val="000000"/>
                <w:kern w:val="0"/>
                <w:szCs w:val="21"/>
                <w:lang w:bidi="ar"/>
              </w:rPr>
              <w:t>1.小区生活和消防采用临时用电；2.消防联动设施（火灾自动报警系统.正压送风系统）未启用；3.消防水泵房未保持完好有效、室内消火栓无水；4.消防控制室未启用；5.电缆井未按要求进行封堵；6.未建立微型消防站，应急处置力量薄弱。</w:t>
            </w:r>
          </w:p>
        </w:tc>
        <w:tc>
          <w:tcPr>
            <w:tcW w:w="255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kern w:val="0"/>
                <w:szCs w:val="21"/>
                <w:lang w:bidi="ar"/>
              </w:rPr>
            </w:pPr>
            <w:r>
              <w:rPr>
                <w:rFonts w:hint="eastAsia" w:ascii="仿宋_GB2312" w:hAnsi="宋体" w:eastAsia="仿宋_GB2312" w:cs="仿宋_GB2312"/>
                <w:color w:val="000000"/>
                <w:kern w:val="0"/>
                <w:szCs w:val="21"/>
                <w:lang w:bidi="ar"/>
              </w:rPr>
              <w:t>1.按照建筑设计防火规范，确保建筑及消防用电符合建筑设计防火规范要求。2.修复火灾自动报警系统、正压送风系统，并确保正常运行。3.修复消防水泵房设施，确保完好有效，确保室内消火栓水压正常。4.迅速招录人员落实24小时值班值守制度，值班人员需持证上岗，符合消防控制室管理规定。5.电缆井、管道井与房间、走道等相连通的孔隙应采用防火封堵材料进行封堵。6.按要求建立微型消防站且配齐配足人员，确保人员、装备经费。</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kern w:val="0"/>
                <w:szCs w:val="21"/>
                <w:lang w:bidi="ar"/>
              </w:rPr>
            </w:pPr>
            <w:r>
              <w:rPr>
                <w:rFonts w:hint="eastAsia" w:ascii="仿宋_GB2312" w:hAnsi="宋体" w:eastAsia="仿宋_GB2312" w:cs="仿宋_GB2312"/>
                <w:color w:val="000000"/>
                <w:kern w:val="0"/>
                <w:szCs w:val="21"/>
                <w:lang w:bidi="ar"/>
              </w:rPr>
              <w:t>江夏区人民政府、武汉市消防救援支队</w:t>
            </w:r>
          </w:p>
        </w:tc>
        <w:tc>
          <w:tcPr>
            <w:tcW w:w="9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kern w:val="0"/>
                <w:szCs w:val="21"/>
                <w:lang w:bidi="ar"/>
              </w:rPr>
            </w:pPr>
            <w:r>
              <w:rPr>
                <w:rFonts w:hint="eastAsia" w:ascii="仿宋_GB2312" w:hAnsi="宋体" w:eastAsia="仿宋_GB2312" w:cs="仿宋_GB2312"/>
                <w:color w:val="000000"/>
                <w:kern w:val="0"/>
                <w:szCs w:val="21"/>
                <w:lang w:bidi="ar"/>
              </w:rPr>
              <w:t>武汉市人民政府</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kern w:val="0"/>
                <w:szCs w:val="21"/>
                <w:lang w:bidi="ar"/>
              </w:rPr>
            </w:pPr>
            <w:r>
              <w:rPr>
                <w:rFonts w:hint="eastAsia" w:ascii="仿宋_GB2312" w:hAnsi="宋体" w:eastAsia="仿宋_GB2312" w:cs="仿宋_GB2312"/>
                <w:color w:val="000000"/>
                <w:kern w:val="0"/>
                <w:szCs w:val="21"/>
                <w:lang w:bidi="ar"/>
              </w:rPr>
              <w:t>省消防救援总队</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2020年</w:t>
            </w:r>
          </w:p>
          <w:p>
            <w:pPr>
              <w:widowControl/>
              <w:spacing w:line="300" w:lineRule="exact"/>
              <w:jc w:val="center"/>
              <w:textAlignment w:val="center"/>
              <w:rPr>
                <w:rFonts w:hint="eastAsia" w:ascii="仿宋_GB2312" w:hAnsi="宋体" w:eastAsia="仿宋_GB2312" w:cs="仿宋_GB2312"/>
                <w:kern w:val="0"/>
                <w:szCs w:val="21"/>
                <w:lang w:bidi="ar"/>
              </w:rPr>
            </w:pPr>
            <w:r>
              <w:rPr>
                <w:rFonts w:hint="eastAsia" w:ascii="仿宋_GB2312" w:hAnsi="宋体" w:eastAsia="仿宋_GB2312" w:cs="仿宋_GB2312"/>
                <w:color w:val="000000"/>
                <w:kern w:val="0"/>
                <w:szCs w:val="21"/>
                <w:lang w:bidi="ar"/>
              </w:rPr>
              <w:t>11月30日</w:t>
            </w:r>
          </w:p>
        </w:tc>
      </w:tr>
      <w:tr>
        <w:tblPrEx>
          <w:tblLayout w:type="fixed"/>
          <w:tblCellMar>
            <w:top w:w="15" w:type="dxa"/>
            <w:left w:w="15" w:type="dxa"/>
            <w:bottom w:w="15" w:type="dxa"/>
            <w:right w:w="15" w:type="dxa"/>
          </w:tblCellMar>
        </w:tblPrEx>
        <w:trPr>
          <w:trHeight w:val="2272"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仿宋" w:eastAsia="仿宋_GB2312" w:cs="仿宋"/>
                <w:color w:val="000000"/>
                <w:szCs w:val="21"/>
              </w:rPr>
            </w:pPr>
            <w:r>
              <w:rPr>
                <w:rFonts w:hint="eastAsia" w:ascii="仿宋_GB2312" w:hAnsi="宋体" w:eastAsia="仿宋_GB2312" w:cs="仿宋_GB2312"/>
                <w:color w:val="000000"/>
                <w:kern w:val="0"/>
                <w:szCs w:val="21"/>
                <w:lang w:bidi="ar"/>
              </w:rPr>
              <w:t>2</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Style w:val="8"/>
                <w:rFonts w:hAnsi="宋体"/>
                <w:sz w:val="21"/>
                <w:szCs w:val="21"/>
                <w:lang w:bidi="ar"/>
              </w:rPr>
              <w:t>黄石市经济技术开发区工业平台建设引起的杆塔“孤岛”</w:t>
            </w:r>
            <w:r>
              <w:rPr>
                <w:rStyle w:val="9"/>
                <w:rFonts w:hint="eastAsia" w:ascii="仿宋_GB2312" w:eastAsia="仿宋_GB2312"/>
                <w:sz w:val="21"/>
                <w:szCs w:val="21"/>
                <w:lang w:bidi="ar"/>
              </w:rPr>
              <w:t>电力安全隐患</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黄石市经济技术开发区</w:t>
            </w:r>
          </w:p>
        </w:tc>
        <w:tc>
          <w:tcPr>
            <w:tcW w:w="345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Style w:val="8"/>
                <w:rFonts w:hAnsi="宋体"/>
                <w:sz w:val="21"/>
                <w:szCs w:val="21"/>
                <w:lang w:bidi="ar"/>
              </w:rPr>
              <w:t>开发区</w:t>
            </w:r>
            <w:r>
              <w:rPr>
                <w:rFonts w:hint="eastAsia" w:eastAsia="仿宋_GB2312"/>
                <w:color w:val="000000"/>
                <w:kern w:val="0"/>
                <w:szCs w:val="21"/>
                <w:lang w:bidi="ar"/>
              </w:rPr>
              <w:t>•</w:t>
            </w:r>
            <w:r>
              <w:rPr>
                <w:rStyle w:val="8"/>
                <w:rFonts w:hAnsi="宋体"/>
                <w:sz w:val="21"/>
                <w:szCs w:val="21"/>
                <w:lang w:bidi="ar"/>
              </w:rPr>
              <w:t>铁山区建设局组织实施3800亩工业平台建设场地取土施工，造成棵板线、塞磁线、韦连线、连桃二回等4条220千伏输电线路12处电力杆塔处于“孤岛”状况，存在电力安全隐患。</w:t>
            </w:r>
          </w:p>
        </w:tc>
        <w:tc>
          <w:tcPr>
            <w:tcW w:w="255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搬迁线路，拆除原有高压电杆，消除工业平台建设引起的杆塔“孤岛”隐患。</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Style w:val="8"/>
                <w:rFonts w:hAnsi="宋体"/>
                <w:sz w:val="21"/>
                <w:szCs w:val="21"/>
                <w:lang w:bidi="ar"/>
              </w:rPr>
              <w:t>黄石市经济技术开发区</w:t>
            </w:r>
            <w:r>
              <w:rPr>
                <w:rFonts w:hint="eastAsia" w:ascii="仿宋_GB2312" w:hAnsi="宋体" w:cs="宋体"/>
                <w:color w:val="000000"/>
                <w:kern w:val="0"/>
                <w:szCs w:val="21"/>
                <w:lang w:bidi="ar"/>
              </w:rPr>
              <w:t>•</w:t>
            </w:r>
            <w:r>
              <w:rPr>
                <w:rStyle w:val="8"/>
                <w:rFonts w:hAnsi="宋体"/>
                <w:sz w:val="21"/>
                <w:szCs w:val="21"/>
                <w:lang w:bidi="ar"/>
              </w:rPr>
              <w:t>铁山区建设局</w:t>
            </w:r>
          </w:p>
        </w:tc>
        <w:tc>
          <w:tcPr>
            <w:tcW w:w="9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黄石市人民政府</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省能源局</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2020年11月30日</w:t>
            </w:r>
          </w:p>
        </w:tc>
      </w:tr>
      <w:tr>
        <w:tblPrEx>
          <w:tblLayout w:type="fixed"/>
          <w:tblCellMar>
            <w:top w:w="15" w:type="dxa"/>
            <w:left w:w="15" w:type="dxa"/>
            <w:bottom w:w="15" w:type="dxa"/>
            <w:right w:w="15" w:type="dxa"/>
          </w:tblCellMar>
        </w:tblPrEx>
        <w:trPr>
          <w:trHeight w:val="1544"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仿宋" w:eastAsia="仿宋_GB2312" w:cs="仿宋"/>
                <w:color w:val="000000"/>
                <w:szCs w:val="21"/>
              </w:rPr>
            </w:pPr>
            <w:r>
              <w:rPr>
                <w:rFonts w:hint="eastAsia" w:ascii="仿宋_GB2312" w:hAnsi="宋体" w:eastAsia="仿宋_GB2312" w:cs="仿宋_GB2312"/>
                <w:color w:val="000000"/>
                <w:kern w:val="0"/>
                <w:szCs w:val="21"/>
                <w:lang w:bidi="ar"/>
              </w:rPr>
              <w:t>3</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宜都市高坝洲双坪路与S254省道交叉路口交通安全隐患</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宜昌宜都市S254与双坪路（高坝洲集镇路口）交叉路口</w:t>
            </w:r>
          </w:p>
        </w:tc>
        <w:tc>
          <w:tcPr>
            <w:tcW w:w="345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该交叉路口不规范，S254省道车流大、车速快、高坝洲集镇二轮摩托车、三轮摩托车转弯驶入S254省道易发生交通事故。</w:t>
            </w:r>
          </w:p>
        </w:tc>
        <w:tc>
          <w:tcPr>
            <w:tcW w:w="255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在交叉路口加装道路交通安全红绿灯、安装电子警察设备，并改造为十字路口。</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宜都市公安局、宜都市交通运输局</w:t>
            </w:r>
          </w:p>
        </w:tc>
        <w:tc>
          <w:tcPr>
            <w:tcW w:w="9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宜昌市人民政府</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省公安交管局、省交通运输厅</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2020年11月30日</w:t>
            </w:r>
          </w:p>
        </w:tc>
      </w:tr>
      <w:tr>
        <w:tblPrEx>
          <w:tblLayout w:type="fixed"/>
          <w:tblCellMar>
            <w:top w:w="15" w:type="dxa"/>
            <w:left w:w="15" w:type="dxa"/>
            <w:bottom w:w="15" w:type="dxa"/>
            <w:right w:w="15" w:type="dxa"/>
          </w:tblCellMar>
        </w:tblPrEx>
        <w:trPr>
          <w:trHeight w:val="2280"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仿宋" w:eastAsia="仿宋_GB2312" w:cs="仿宋"/>
                <w:color w:val="000000"/>
                <w:szCs w:val="21"/>
              </w:rPr>
            </w:pPr>
            <w:r>
              <w:rPr>
                <w:rFonts w:hint="eastAsia" w:ascii="仿宋_GB2312" w:hAnsi="宋体" w:eastAsia="仿宋_GB2312" w:cs="仿宋_GB2312"/>
                <w:color w:val="000000"/>
                <w:kern w:val="0"/>
                <w:szCs w:val="21"/>
                <w:lang w:bidi="ar"/>
              </w:rPr>
              <w:t>4</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宜昌点军区土城乡车溪景区消防管道老化消防安全隐患</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宜昌点军区土城乡车溪景区车溪老街</w:t>
            </w:r>
          </w:p>
        </w:tc>
        <w:tc>
          <w:tcPr>
            <w:tcW w:w="345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车溪景区车溪老街消防主管道老化，部分消防栓缺水。</w:t>
            </w:r>
          </w:p>
        </w:tc>
        <w:tc>
          <w:tcPr>
            <w:tcW w:w="255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对车溪老街消防管道主管道进行全面更换，确保各消防栓水量充足，满足消防灭火需要。</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宜昌车溪文化旅游发展有限公司</w:t>
            </w:r>
          </w:p>
        </w:tc>
        <w:tc>
          <w:tcPr>
            <w:tcW w:w="9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宜昌市人民政府</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省文化和旅游厅、省消防救援总队</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2020年11月30日</w:t>
            </w:r>
          </w:p>
        </w:tc>
      </w:tr>
      <w:tr>
        <w:tblPrEx>
          <w:tblLayout w:type="fixed"/>
          <w:tblCellMar>
            <w:top w:w="15" w:type="dxa"/>
            <w:left w:w="15" w:type="dxa"/>
            <w:bottom w:w="15" w:type="dxa"/>
            <w:right w:w="15" w:type="dxa"/>
          </w:tblCellMar>
        </w:tblPrEx>
        <w:trPr>
          <w:trHeight w:val="1275"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仿宋" w:eastAsia="仿宋_GB2312" w:cs="仿宋"/>
                <w:color w:val="000000"/>
                <w:szCs w:val="21"/>
              </w:rPr>
            </w:pPr>
            <w:r>
              <w:rPr>
                <w:rFonts w:hint="eastAsia" w:ascii="仿宋_GB2312" w:hAnsi="宋体" w:eastAsia="仿宋_GB2312" w:cs="仿宋_GB2312"/>
                <w:color w:val="000000"/>
                <w:kern w:val="0"/>
                <w:szCs w:val="21"/>
                <w:lang w:bidi="ar"/>
              </w:rPr>
              <w:t>5</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十堰市郧阳区郧县白浪老蔡沟尾矿库安全隐患</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十堰市郧阳区白浪镇袁家湾村四组</w:t>
            </w:r>
          </w:p>
        </w:tc>
        <w:tc>
          <w:tcPr>
            <w:tcW w:w="345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尾矿库无排洪设施，坝体稳定性较差。</w:t>
            </w:r>
          </w:p>
        </w:tc>
        <w:tc>
          <w:tcPr>
            <w:tcW w:w="255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闭库治理。</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十堰市昌欣生态修复有限公司、十堰市应急管理局</w:t>
            </w:r>
          </w:p>
        </w:tc>
        <w:tc>
          <w:tcPr>
            <w:tcW w:w="9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十堰市人民政府</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省应急管理厅</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2020年11月30日</w:t>
            </w:r>
          </w:p>
        </w:tc>
      </w:tr>
      <w:tr>
        <w:tblPrEx>
          <w:tblLayout w:type="fixed"/>
          <w:tblCellMar>
            <w:top w:w="15" w:type="dxa"/>
            <w:left w:w="15" w:type="dxa"/>
            <w:bottom w:w="15" w:type="dxa"/>
            <w:right w:w="15" w:type="dxa"/>
          </w:tblCellMar>
        </w:tblPrEx>
        <w:trPr>
          <w:trHeight w:val="1550"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仿宋" w:eastAsia="仿宋_GB2312" w:cs="仿宋"/>
                <w:color w:val="000000"/>
                <w:szCs w:val="21"/>
              </w:rPr>
            </w:pPr>
            <w:r>
              <w:rPr>
                <w:rFonts w:hint="eastAsia" w:ascii="仿宋_GB2312" w:hAnsi="宋体" w:eastAsia="仿宋_GB2312" w:cs="仿宋_GB2312"/>
                <w:color w:val="000000"/>
                <w:kern w:val="0"/>
                <w:szCs w:val="21"/>
                <w:lang w:bidi="ar"/>
              </w:rPr>
              <w:t>6</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孝感市孝南区朋兴乡三河联通沈新河区跨河桥梁危桥安全隐患</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孝感市孝南区朋兴乡沈新村</w:t>
            </w:r>
          </w:p>
        </w:tc>
        <w:tc>
          <w:tcPr>
            <w:tcW w:w="345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桥墩和桥梁出现大口径的龟裂，存在重大安全隐患。</w:t>
            </w:r>
          </w:p>
        </w:tc>
        <w:tc>
          <w:tcPr>
            <w:tcW w:w="255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对桥梁进行维修加固。</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孝感市水利</w:t>
            </w:r>
          </w:p>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湖泊局</w:t>
            </w:r>
          </w:p>
        </w:tc>
        <w:tc>
          <w:tcPr>
            <w:tcW w:w="9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孝感市人民政府</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省水利厅</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2020年11月30日</w:t>
            </w:r>
          </w:p>
        </w:tc>
      </w:tr>
      <w:tr>
        <w:tblPrEx>
          <w:tblLayout w:type="fixed"/>
          <w:tblCellMar>
            <w:top w:w="15" w:type="dxa"/>
            <w:left w:w="15" w:type="dxa"/>
            <w:bottom w:w="15" w:type="dxa"/>
            <w:right w:w="15" w:type="dxa"/>
          </w:tblCellMar>
        </w:tblPrEx>
        <w:trPr>
          <w:trHeight w:val="2221" w:hRule="atLeast"/>
          <w:jc w:val="center"/>
        </w:trPr>
        <w:tc>
          <w:tcPr>
            <w:tcW w:w="422"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仿宋" w:eastAsia="仿宋_GB2312" w:cs="仿宋"/>
                <w:color w:val="000000"/>
                <w:szCs w:val="21"/>
              </w:rPr>
            </w:pPr>
            <w:r>
              <w:rPr>
                <w:rFonts w:hint="eastAsia" w:ascii="仿宋_GB2312" w:hAnsi="宋体" w:eastAsia="仿宋_GB2312" w:cs="仿宋_GB2312"/>
                <w:color w:val="000000"/>
                <w:kern w:val="0"/>
                <w:szCs w:val="21"/>
                <w:lang w:bidi="ar"/>
              </w:rPr>
              <w:t>7</w:t>
            </w:r>
          </w:p>
        </w:tc>
        <w:tc>
          <w:tcPr>
            <w:tcW w:w="1312"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鄂州市鄂城区武汉港工业园恒彩包装公司办公房危房安全隐患</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鄂州市鄂城区樊口街道武汉港工业园恒彩包装公司</w:t>
            </w:r>
          </w:p>
        </w:tc>
        <w:tc>
          <w:tcPr>
            <w:tcW w:w="345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武汉港工业园恒彩包装公司厂房内东北角设有五间办公室，其办公室的外墙、隔墙出现开裂、倾斜现象，地面沉降、起拱，办公室有坍塌可能。另天花板上敷设电源线，如墙面倒塌会顺势扯断电气线路。</w:t>
            </w:r>
          </w:p>
        </w:tc>
        <w:tc>
          <w:tcPr>
            <w:tcW w:w="255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办公室整体拆除。</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鄂州市鄂城区人民政府</w:t>
            </w:r>
          </w:p>
        </w:tc>
        <w:tc>
          <w:tcPr>
            <w:tcW w:w="9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鄂州市人民政府</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省应急管理厅</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2020年11月30日</w:t>
            </w:r>
          </w:p>
        </w:tc>
      </w:tr>
      <w:tr>
        <w:tblPrEx>
          <w:tblLayout w:type="fixed"/>
          <w:tblCellMar>
            <w:top w:w="15" w:type="dxa"/>
            <w:left w:w="15" w:type="dxa"/>
            <w:bottom w:w="15" w:type="dxa"/>
            <w:right w:w="15" w:type="dxa"/>
          </w:tblCellMar>
        </w:tblPrEx>
        <w:trPr>
          <w:trHeight w:val="1279" w:hRule="atLeast"/>
          <w:jc w:val="center"/>
        </w:trPr>
        <w:tc>
          <w:tcPr>
            <w:tcW w:w="422" w:type="dxa"/>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仿宋" w:eastAsia="仿宋_GB2312" w:cs="仿宋"/>
                <w:szCs w:val="21"/>
              </w:rPr>
            </w:pPr>
            <w:r>
              <w:rPr>
                <w:rFonts w:hint="eastAsia" w:ascii="仿宋_GB2312" w:hAnsi="宋体" w:eastAsia="仿宋_GB2312" w:cs="仿宋_GB2312"/>
                <w:color w:val="000000"/>
                <w:kern w:val="0"/>
                <w:szCs w:val="21"/>
                <w:lang w:bidi="ar"/>
              </w:rPr>
              <w:t>8</w:t>
            </w:r>
          </w:p>
        </w:tc>
        <w:tc>
          <w:tcPr>
            <w:tcW w:w="1312" w:type="dxa"/>
            <w:tcBorders>
              <w:top w:val="single" w:color="auto" w:sz="4" w:space="0"/>
              <w:left w:val="single" w:color="000000" w:sz="4" w:space="0"/>
              <w:bottom w:val="single" w:color="auto" w:sz="4" w:space="0"/>
              <w:right w:val="single" w:color="auto"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黄冈市黄州商城消防安全隐患</w:t>
            </w:r>
          </w:p>
        </w:tc>
        <w:tc>
          <w:tcPr>
            <w:tcW w:w="1376"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黄冈市黄州区</w:t>
            </w:r>
          </w:p>
        </w:tc>
        <w:tc>
          <w:tcPr>
            <w:tcW w:w="3454"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防火分隔、安全疏散、消防设施、电气线路敷设不符合消防技术要求。</w:t>
            </w:r>
          </w:p>
        </w:tc>
        <w:tc>
          <w:tcPr>
            <w:tcW w:w="2551" w:type="dxa"/>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全面落实消防安全责任制，对问题逐一销号、隐患全面消除，坚决预防和遏制重大火灾事故发生。</w:t>
            </w:r>
          </w:p>
        </w:tc>
        <w:tc>
          <w:tcPr>
            <w:tcW w:w="1377"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黄州区人民政府、黄冈市消防救援支队</w:t>
            </w:r>
          </w:p>
        </w:tc>
        <w:tc>
          <w:tcPr>
            <w:tcW w:w="909" w:type="dxa"/>
            <w:tcBorders>
              <w:top w:val="single" w:color="auto"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黄冈市人民政府</w:t>
            </w:r>
          </w:p>
        </w:tc>
        <w:tc>
          <w:tcPr>
            <w:tcW w:w="1025"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省消防救援总队</w:t>
            </w:r>
          </w:p>
        </w:tc>
        <w:tc>
          <w:tcPr>
            <w:tcW w:w="1055" w:type="dxa"/>
            <w:tcBorders>
              <w:top w:val="single" w:color="auto" w:sz="4" w:space="0"/>
              <w:left w:val="single" w:color="000000" w:sz="4" w:space="0"/>
              <w:bottom w:val="single" w:color="auto" w:sz="4" w:space="0"/>
              <w:right w:val="single" w:color="auto"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2020年11月30日</w:t>
            </w:r>
          </w:p>
        </w:tc>
      </w:tr>
      <w:tr>
        <w:tblPrEx>
          <w:tblLayout w:type="fixed"/>
          <w:tblCellMar>
            <w:top w:w="15" w:type="dxa"/>
            <w:left w:w="15" w:type="dxa"/>
            <w:bottom w:w="15" w:type="dxa"/>
            <w:right w:w="15" w:type="dxa"/>
          </w:tblCellMar>
        </w:tblPrEx>
        <w:trPr>
          <w:trHeight w:val="2475" w:hRule="atLeast"/>
          <w:jc w:val="center"/>
        </w:trPr>
        <w:tc>
          <w:tcPr>
            <w:tcW w:w="422" w:type="dxa"/>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仿宋" w:eastAsia="仿宋_GB2312" w:cs="仿宋"/>
                <w:color w:val="000000"/>
                <w:szCs w:val="21"/>
              </w:rPr>
            </w:pPr>
            <w:r>
              <w:rPr>
                <w:rFonts w:hint="eastAsia" w:ascii="仿宋_GB2312" w:hAnsi="宋体" w:eastAsia="仿宋_GB2312" w:cs="仿宋_GB2312"/>
                <w:color w:val="000000"/>
                <w:kern w:val="0"/>
                <w:szCs w:val="21"/>
                <w:lang w:bidi="ar"/>
              </w:rPr>
              <w:t>9</w:t>
            </w:r>
          </w:p>
        </w:tc>
        <w:tc>
          <w:tcPr>
            <w:tcW w:w="1312" w:type="dxa"/>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随州市随县鲁峡片麻岩矿尾矿库安全隐患</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随县万和镇</w:t>
            </w:r>
          </w:p>
        </w:tc>
        <w:tc>
          <w:tcPr>
            <w:tcW w:w="345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尾矿库排水井部分垮塌，排渗管道破裂，排洪能力受影响。</w:t>
            </w:r>
          </w:p>
        </w:tc>
        <w:tc>
          <w:tcPr>
            <w:tcW w:w="255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实行尾矿综合利用，库内尾矿沙储量降至5万立方以下，完成销库闭库治理任务。</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随县应急</w:t>
            </w:r>
          </w:p>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管理局</w:t>
            </w:r>
          </w:p>
        </w:tc>
        <w:tc>
          <w:tcPr>
            <w:tcW w:w="9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随州市</w:t>
            </w:r>
          </w:p>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人民政府</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省应急</w:t>
            </w:r>
          </w:p>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管理厅</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2020年11月30日</w:t>
            </w:r>
          </w:p>
        </w:tc>
      </w:tr>
      <w:tr>
        <w:tblPrEx>
          <w:tblLayout w:type="fixed"/>
          <w:tblCellMar>
            <w:top w:w="15" w:type="dxa"/>
            <w:left w:w="15" w:type="dxa"/>
            <w:bottom w:w="15" w:type="dxa"/>
            <w:right w:w="15" w:type="dxa"/>
          </w:tblCellMar>
        </w:tblPrEx>
        <w:trPr>
          <w:trHeight w:val="1640" w:hRule="atLeast"/>
          <w:jc w:val="center"/>
        </w:trPr>
        <w:tc>
          <w:tcPr>
            <w:tcW w:w="42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仿宋_GB2312" w:hAnsi="仿宋" w:eastAsia="仿宋_GB2312" w:cs="仿宋"/>
                <w:color w:val="000000"/>
                <w:kern w:val="0"/>
                <w:szCs w:val="21"/>
                <w:lang w:bidi="ar"/>
              </w:rPr>
            </w:pPr>
            <w:r>
              <w:rPr>
                <w:rFonts w:hint="eastAsia" w:ascii="仿宋_GB2312" w:hAnsi="宋体" w:eastAsia="仿宋_GB2312" w:cs="仿宋_GB2312"/>
                <w:color w:val="000000"/>
                <w:kern w:val="0"/>
                <w:szCs w:val="21"/>
                <w:lang w:bidi="ar"/>
              </w:rPr>
              <w:t>10</w:t>
            </w:r>
          </w:p>
        </w:tc>
        <w:tc>
          <w:tcPr>
            <w:tcW w:w="1312" w:type="dxa"/>
            <w:tcBorders>
              <w:top w:val="single" w:color="auto" w:sz="4" w:space="0"/>
              <w:left w:val="single" w:color="000000" w:sz="4" w:space="0"/>
              <w:bottom w:val="single" w:color="auto" w:sz="4" w:space="0"/>
              <w:right w:val="single" w:color="auto"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潜江市富阳化工有限公司冰机房电机安全隐患</w:t>
            </w:r>
          </w:p>
        </w:tc>
        <w:tc>
          <w:tcPr>
            <w:tcW w:w="1376"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潜江市江汉盐化工业园园区一路</w:t>
            </w:r>
          </w:p>
        </w:tc>
        <w:tc>
          <w:tcPr>
            <w:tcW w:w="345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冰机房电机不防爆。</w:t>
            </w:r>
          </w:p>
        </w:tc>
        <w:tc>
          <w:tcPr>
            <w:tcW w:w="2551"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达到防爆等级要求。</w:t>
            </w:r>
          </w:p>
        </w:tc>
        <w:tc>
          <w:tcPr>
            <w:tcW w:w="1377"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潜江市应急</w:t>
            </w:r>
          </w:p>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管理局</w:t>
            </w:r>
          </w:p>
        </w:tc>
        <w:tc>
          <w:tcPr>
            <w:tcW w:w="909"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潜江市</w:t>
            </w:r>
          </w:p>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人民政府</w:t>
            </w:r>
          </w:p>
        </w:tc>
        <w:tc>
          <w:tcPr>
            <w:tcW w:w="1025"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省应急</w:t>
            </w:r>
          </w:p>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管理厅</w:t>
            </w:r>
          </w:p>
        </w:tc>
        <w:tc>
          <w:tcPr>
            <w:tcW w:w="1055"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2020年</w:t>
            </w:r>
          </w:p>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11月30日</w:t>
            </w:r>
          </w:p>
        </w:tc>
      </w:tr>
      <w:tr>
        <w:tblPrEx>
          <w:tblLayout w:type="fixed"/>
          <w:tblCellMar>
            <w:top w:w="15" w:type="dxa"/>
            <w:left w:w="15" w:type="dxa"/>
            <w:bottom w:w="15" w:type="dxa"/>
            <w:right w:w="15" w:type="dxa"/>
          </w:tblCellMar>
        </w:tblPrEx>
        <w:trPr>
          <w:trHeight w:val="1228" w:hRule="atLeast"/>
          <w:jc w:val="center"/>
        </w:trPr>
        <w:tc>
          <w:tcPr>
            <w:tcW w:w="422" w:type="dxa"/>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仿宋" w:eastAsia="仿宋_GB2312" w:cs="仿宋"/>
                <w:color w:val="000000"/>
                <w:kern w:val="0"/>
                <w:szCs w:val="21"/>
                <w:lang w:bidi="ar"/>
              </w:rPr>
            </w:pPr>
            <w:r>
              <w:rPr>
                <w:rFonts w:hint="eastAsia" w:ascii="仿宋_GB2312" w:hAnsi="宋体" w:eastAsia="仿宋_GB2312" w:cs="仿宋_GB2312"/>
                <w:color w:val="000000"/>
                <w:kern w:val="0"/>
                <w:szCs w:val="21"/>
                <w:lang w:bidi="ar"/>
              </w:rPr>
              <w:t>11</w:t>
            </w:r>
          </w:p>
        </w:tc>
        <w:tc>
          <w:tcPr>
            <w:tcW w:w="1312" w:type="dxa"/>
            <w:tcBorders>
              <w:top w:val="single" w:color="auto" w:sz="4" w:space="0"/>
              <w:left w:val="single" w:color="000000" w:sz="4" w:space="0"/>
              <w:bottom w:val="single" w:color="auto" w:sz="4" w:space="0"/>
              <w:right w:val="single" w:color="auto"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随州市妇幼保健院火灾安全隐患</w:t>
            </w:r>
          </w:p>
        </w:tc>
        <w:tc>
          <w:tcPr>
            <w:tcW w:w="1376"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曾都区青年路111号，市妇幼保健院兰花楼五楼</w:t>
            </w:r>
          </w:p>
        </w:tc>
        <w:tc>
          <w:tcPr>
            <w:tcW w:w="345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病房总面积763㎡,共一层，高度为3.5M，兰花楼五楼外科病房，泡沫板房不符合防火要求，存在火灾安全隐患。</w:t>
            </w:r>
          </w:p>
        </w:tc>
        <w:tc>
          <w:tcPr>
            <w:tcW w:w="2551"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拆除或者改扩建。</w:t>
            </w:r>
          </w:p>
        </w:tc>
        <w:tc>
          <w:tcPr>
            <w:tcW w:w="1377"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随州市卫生</w:t>
            </w:r>
          </w:p>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健康委</w:t>
            </w:r>
          </w:p>
        </w:tc>
        <w:tc>
          <w:tcPr>
            <w:tcW w:w="909"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随州市人民政府</w:t>
            </w:r>
          </w:p>
        </w:tc>
        <w:tc>
          <w:tcPr>
            <w:tcW w:w="1025"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省卫生</w:t>
            </w:r>
          </w:p>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健康委</w:t>
            </w:r>
          </w:p>
        </w:tc>
        <w:tc>
          <w:tcPr>
            <w:tcW w:w="1055"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2020年</w:t>
            </w:r>
          </w:p>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11月30日</w:t>
            </w:r>
          </w:p>
        </w:tc>
      </w:tr>
      <w:tr>
        <w:tblPrEx>
          <w:tblLayout w:type="fixed"/>
          <w:tblCellMar>
            <w:top w:w="15" w:type="dxa"/>
            <w:left w:w="15" w:type="dxa"/>
            <w:bottom w:w="15" w:type="dxa"/>
            <w:right w:w="15" w:type="dxa"/>
          </w:tblCellMar>
        </w:tblPrEx>
        <w:trPr>
          <w:trHeight w:val="1640" w:hRule="atLeast"/>
          <w:jc w:val="center"/>
        </w:trPr>
        <w:tc>
          <w:tcPr>
            <w:tcW w:w="422" w:type="dxa"/>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12</w:t>
            </w:r>
          </w:p>
        </w:tc>
        <w:tc>
          <w:tcPr>
            <w:tcW w:w="1312" w:type="dxa"/>
            <w:tcBorders>
              <w:top w:val="single" w:color="auto" w:sz="4" w:space="0"/>
              <w:left w:val="single" w:color="000000" w:sz="4" w:space="0"/>
              <w:bottom w:val="single" w:color="auto" w:sz="4" w:space="0"/>
              <w:right w:val="single" w:color="auto"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中国铁路武汉局集团有限公司襄阳工务段跨铁路桥梁安全隐患</w:t>
            </w:r>
          </w:p>
        </w:tc>
        <w:tc>
          <w:tcPr>
            <w:tcW w:w="1376"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宜城市境内雷雁大道035乡道跑马山公墓附近，焦柳线K546+215公路跨铁路桥梁</w:t>
            </w:r>
          </w:p>
        </w:tc>
        <w:tc>
          <w:tcPr>
            <w:tcW w:w="345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一是桥上上大堰一侧有宜城市华润燃气有限公司私自裸露架设的天燃气管道1根；二是桥头限吨牌显示10T，但该桥频繁通过40T车辆。</w:t>
            </w:r>
          </w:p>
        </w:tc>
        <w:tc>
          <w:tcPr>
            <w:tcW w:w="2551"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一是改迁燃气挂线，二是对桥梁进行治超。</w:t>
            </w:r>
          </w:p>
        </w:tc>
        <w:tc>
          <w:tcPr>
            <w:tcW w:w="1377"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宜城市人民政府、中铁武汉局集团有限</w:t>
            </w:r>
          </w:p>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公司</w:t>
            </w:r>
          </w:p>
        </w:tc>
        <w:tc>
          <w:tcPr>
            <w:tcW w:w="909"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襄阳市人民政府</w:t>
            </w:r>
          </w:p>
        </w:tc>
        <w:tc>
          <w:tcPr>
            <w:tcW w:w="1025"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省交通</w:t>
            </w:r>
          </w:p>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运输厅</w:t>
            </w:r>
          </w:p>
        </w:tc>
        <w:tc>
          <w:tcPr>
            <w:tcW w:w="1055"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2020年</w:t>
            </w:r>
          </w:p>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11月30日</w:t>
            </w:r>
          </w:p>
        </w:tc>
      </w:tr>
      <w:tr>
        <w:tblPrEx>
          <w:tblLayout w:type="fixed"/>
          <w:tblCellMar>
            <w:top w:w="15" w:type="dxa"/>
            <w:left w:w="15" w:type="dxa"/>
            <w:bottom w:w="15" w:type="dxa"/>
            <w:right w:w="15" w:type="dxa"/>
          </w:tblCellMar>
        </w:tblPrEx>
        <w:trPr>
          <w:trHeight w:val="1525" w:hRule="atLeast"/>
          <w:jc w:val="center"/>
        </w:trPr>
        <w:tc>
          <w:tcPr>
            <w:tcW w:w="422" w:type="dxa"/>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13</w:t>
            </w:r>
          </w:p>
        </w:tc>
        <w:tc>
          <w:tcPr>
            <w:tcW w:w="1312" w:type="dxa"/>
            <w:tcBorders>
              <w:top w:val="single" w:color="auto" w:sz="4" w:space="0"/>
              <w:left w:val="single" w:color="000000" w:sz="4" w:space="0"/>
              <w:bottom w:val="single" w:color="auto" w:sz="4" w:space="0"/>
              <w:right w:val="single" w:color="auto"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中国铁路武汉局集团有限公司宜昌综合维修段铁路桥梁安全隐患</w:t>
            </w:r>
          </w:p>
        </w:tc>
        <w:tc>
          <w:tcPr>
            <w:tcW w:w="1376"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当阳市玉泉办事处关陵庙村</w:t>
            </w:r>
          </w:p>
        </w:tc>
        <w:tc>
          <w:tcPr>
            <w:tcW w:w="345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位于宜昌市当阳市玉泉办事处关陵庙村境内，下穿焦柳铁路K673+293处桥梁，该处铁路桥梁至公路面净高4.9米，未设置限高防护架。</w:t>
            </w:r>
          </w:p>
        </w:tc>
        <w:tc>
          <w:tcPr>
            <w:tcW w:w="2551"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请宜昌市当阳市同意我公司在该处设置限高防护架。</w:t>
            </w:r>
          </w:p>
        </w:tc>
        <w:tc>
          <w:tcPr>
            <w:tcW w:w="1377"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当阳市人民政府、中铁武汉局集团有限</w:t>
            </w:r>
          </w:p>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公司</w:t>
            </w:r>
          </w:p>
        </w:tc>
        <w:tc>
          <w:tcPr>
            <w:tcW w:w="909"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宜昌市人民政府</w:t>
            </w:r>
          </w:p>
        </w:tc>
        <w:tc>
          <w:tcPr>
            <w:tcW w:w="1025"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省交通</w:t>
            </w:r>
          </w:p>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运输厅</w:t>
            </w:r>
          </w:p>
        </w:tc>
        <w:tc>
          <w:tcPr>
            <w:tcW w:w="1055"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2020年</w:t>
            </w:r>
          </w:p>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11月30日</w:t>
            </w:r>
          </w:p>
        </w:tc>
      </w:tr>
      <w:tr>
        <w:tblPrEx>
          <w:tblLayout w:type="fixed"/>
          <w:tblCellMar>
            <w:top w:w="15" w:type="dxa"/>
            <w:left w:w="15" w:type="dxa"/>
            <w:bottom w:w="15" w:type="dxa"/>
            <w:right w:w="15" w:type="dxa"/>
          </w:tblCellMar>
        </w:tblPrEx>
        <w:trPr>
          <w:trHeight w:val="1550" w:hRule="atLeast"/>
          <w:jc w:val="center"/>
        </w:trPr>
        <w:tc>
          <w:tcPr>
            <w:tcW w:w="422" w:type="dxa"/>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14</w:t>
            </w:r>
          </w:p>
        </w:tc>
        <w:tc>
          <w:tcPr>
            <w:tcW w:w="1312" w:type="dxa"/>
            <w:tcBorders>
              <w:top w:val="single" w:color="auto" w:sz="4" w:space="0"/>
              <w:left w:val="single" w:color="000000" w:sz="4" w:space="0"/>
              <w:bottom w:val="single" w:color="auto" w:sz="4" w:space="0"/>
              <w:right w:val="single" w:color="auto"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恩施州来凤县凉亭桥</w:t>
            </w:r>
            <w:r>
              <w:rPr>
                <w:rFonts w:hint="eastAsia" w:ascii="仿宋_GB2312" w:hAnsi="宋体" w:eastAsia="仿宋_GB2312" w:cs="黑体"/>
                <w:color w:val="000000"/>
                <w:kern w:val="0"/>
                <w:szCs w:val="21"/>
                <w:lang w:bidi="ar"/>
              </w:rPr>
              <w:t>危桥安全隐患</w:t>
            </w:r>
          </w:p>
        </w:tc>
        <w:tc>
          <w:tcPr>
            <w:tcW w:w="1376"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来凤县凉亭桥</w:t>
            </w:r>
          </w:p>
        </w:tc>
        <w:tc>
          <w:tcPr>
            <w:tcW w:w="345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2014年2月桥梁检测为D类桥梁。</w:t>
            </w:r>
          </w:p>
        </w:tc>
        <w:tc>
          <w:tcPr>
            <w:tcW w:w="2551"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封闭加固改造。</w:t>
            </w:r>
          </w:p>
        </w:tc>
        <w:tc>
          <w:tcPr>
            <w:tcW w:w="1377"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来凤县人民</w:t>
            </w:r>
          </w:p>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政府</w:t>
            </w:r>
          </w:p>
        </w:tc>
        <w:tc>
          <w:tcPr>
            <w:tcW w:w="909"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恩施州</w:t>
            </w:r>
          </w:p>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人民政府</w:t>
            </w:r>
          </w:p>
        </w:tc>
        <w:tc>
          <w:tcPr>
            <w:tcW w:w="1025"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省住房和城乡</w:t>
            </w:r>
          </w:p>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建设厅</w:t>
            </w:r>
          </w:p>
        </w:tc>
        <w:tc>
          <w:tcPr>
            <w:tcW w:w="1055"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2020年12月31日（续2019年挂牌推进隐患）</w:t>
            </w:r>
          </w:p>
        </w:tc>
      </w:tr>
      <w:tr>
        <w:tblPrEx>
          <w:tblLayout w:type="fixed"/>
          <w:tblCellMar>
            <w:top w:w="15" w:type="dxa"/>
            <w:left w:w="15" w:type="dxa"/>
            <w:bottom w:w="15" w:type="dxa"/>
            <w:right w:w="15" w:type="dxa"/>
          </w:tblCellMar>
        </w:tblPrEx>
        <w:trPr>
          <w:trHeight w:val="1550" w:hRule="atLeast"/>
          <w:jc w:val="center"/>
        </w:trPr>
        <w:tc>
          <w:tcPr>
            <w:tcW w:w="422" w:type="dxa"/>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15</w:t>
            </w:r>
          </w:p>
        </w:tc>
        <w:tc>
          <w:tcPr>
            <w:tcW w:w="1312" w:type="dxa"/>
            <w:tcBorders>
              <w:top w:val="single" w:color="auto" w:sz="4" w:space="0"/>
              <w:left w:val="single" w:color="000000" w:sz="4" w:space="0"/>
              <w:bottom w:val="single" w:color="auto" w:sz="4" w:space="0"/>
              <w:right w:val="single" w:color="auto"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恩施州来凤县洪山电站桥</w:t>
            </w:r>
            <w:r>
              <w:rPr>
                <w:rFonts w:hint="eastAsia" w:ascii="仿宋_GB2312" w:hAnsi="宋体" w:eastAsia="仿宋_GB2312" w:cs="黑体"/>
                <w:color w:val="000000"/>
                <w:kern w:val="0"/>
                <w:szCs w:val="21"/>
                <w:lang w:bidi="ar"/>
              </w:rPr>
              <w:t>危桥安全隐患</w:t>
            </w:r>
          </w:p>
        </w:tc>
        <w:tc>
          <w:tcPr>
            <w:tcW w:w="1376"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来凤县洪山电站</w:t>
            </w:r>
          </w:p>
        </w:tc>
        <w:tc>
          <w:tcPr>
            <w:tcW w:w="345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2014年桥梁检测为D类桥梁。</w:t>
            </w:r>
          </w:p>
        </w:tc>
        <w:tc>
          <w:tcPr>
            <w:tcW w:w="2551"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封闭加固改造。</w:t>
            </w:r>
          </w:p>
        </w:tc>
        <w:tc>
          <w:tcPr>
            <w:tcW w:w="1377"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来凤县人民</w:t>
            </w:r>
          </w:p>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政府</w:t>
            </w:r>
          </w:p>
        </w:tc>
        <w:tc>
          <w:tcPr>
            <w:tcW w:w="909"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恩施州人民政府</w:t>
            </w:r>
          </w:p>
        </w:tc>
        <w:tc>
          <w:tcPr>
            <w:tcW w:w="1025"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省住房和城乡</w:t>
            </w:r>
          </w:p>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建设厅</w:t>
            </w:r>
          </w:p>
        </w:tc>
        <w:tc>
          <w:tcPr>
            <w:tcW w:w="1055"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2020年12月31日（续2019年挂牌推进隐患）</w:t>
            </w:r>
          </w:p>
        </w:tc>
      </w:tr>
    </w:tbl>
    <w:p>
      <w:bookmarkStart w:id="0" w:name="_GoBack"/>
      <w:bookmarkEnd w:id="0"/>
    </w:p>
    <w:sectPr>
      <w:pgSz w:w="16838" w:h="11906" w:orient="landscape"/>
      <w:pgMar w:top="1587" w:right="2098" w:bottom="1474" w:left="1984" w:header="851" w:footer="992" w:gutter="0"/>
      <w:paperSrc/>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439425-E5FE-462B-8321-54C19591789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embedRegular r:id="rId2" w:fontKey="{A49F933E-074C-4788-9DB7-4973A20F282F}"/>
  </w:font>
  <w:font w:name="仿宋_GB2312">
    <w:panose1 w:val="02010609030101010101"/>
    <w:charset w:val="86"/>
    <w:family w:val="modern"/>
    <w:pitch w:val="default"/>
    <w:sig w:usb0="00000001" w:usb1="080E0000" w:usb2="00000000" w:usb3="00000000" w:csb0="00040000" w:csb1="00000000"/>
    <w:embedRegular r:id="rId3" w:fontKey="{56760314-381D-4B17-89EB-F42158A2B322}"/>
  </w:font>
  <w:font w:name="方正小标宋简体">
    <w:panose1 w:val="02000000000000000000"/>
    <w:charset w:val="86"/>
    <w:family w:val="script"/>
    <w:pitch w:val="default"/>
    <w:sig w:usb0="00000001" w:usb1="080E0000" w:usb2="00000000" w:usb3="00000000" w:csb0="00040000" w:csb1="00000000"/>
    <w:embedRegular r:id="rId4" w:fontKey="{8D5BF003-A34C-44C7-AFEB-9A3A9AD5ABDA}"/>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5" w:fontKey="{1989E993-C50E-4E74-9386-9E3EF54FD2DD}"/>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仿宋_GBK">
    <w:altName w:val="微软雅黑"/>
    <w:panose1 w:val="03000509000000000000"/>
    <w:charset w:val="86"/>
    <w:family w:val="script"/>
    <w:pitch w:val="default"/>
    <w:sig w:usb0="00000000" w:usb1="00000000" w:usb2="00000000" w:usb3="00000000" w:csb0="00040000" w:csb1="00000000"/>
  </w:font>
  <w:font w:name="公文小标宋简">
    <w:altName w:val="宋体"/>
    <w:panose1 w:val="02010609010101010101"/>
    <w:charset w:val="00"/>
    <w:family w:val="auto"/>
    <w:pitch w:val="default"/>
    <w:sig w:usb0="00000000" w:usb1="00000000" w:usb2="00000000"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 w:name="方正粗黑宋简体">
    <w:altName w:val="宋体"/>
    <w:panose1 w:val="02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time">
    <w:altName w:val="宋体"/>
    <w:panose1 w:val="00000000000000000000"/>
    <w:charset w:val="00"/>
    <w:family w:val="roman"/>
    <w:pitch w:val="default"/>
    <w:sig w:usb0="00000000" w:usb1="00000000" w:usb2="00000000"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华文仿宋">
    <w:panose1 w:val="02010600040101010101"/>
    <w:charset w:val="86"/>
    <w:family w:val="auto"/>
    <w:pitch w:val="default"/>
    <w:sig w:usb0="00000287" w:usb1="080F0000" w:usb2="00000000" w:usb3="00000000" w:csb0="0004009F" w:csb1="DFD70000"/>
  </w:font>
  <w:font w:name="创艺简标宋">
    <w:altName w:val="方正舒体"/>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舒体">
    <w:panose1 w:val="02010601030101010101"/>
    <w:charset w:val="86"/>
    <w:family w:val="auto"/>
    <w:pitch w:val="default"/>
    <w:sig w:usb0="00000003"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70636D"/>
    <w:rsid w:val="23031303"/>
    <w:rsid w:val="231B5D7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7">
    <w:name w:val="font11"/>
    <w:basedOn w:val="5"/>
    <w:uiPriority w:val="0"/>
    <w:rPr>
      <w:rFonts w:ascii="黑体" w:hAnsi="宋体" w:eastAsia="黑体" w:cs="黑体"/>
      <w:color w:val="000000"/>
      <w:sz w:val="24"/>
      <w:szCs w:val="24"/>
      <w:u w:val="none"/>
    </w:rPr>
  </w:style>
  <w:style w:type="character" w:customStyle="1" w:styleId="8">
    <w:name w:val="font51"/>
    <w:basedOn w:val="5"/>
    <w:uiPriority w:val="0"/>
    <w:rPr>
      <w:rFonts w:hint="eastAsia" w:ascii="仿宋_GB2312" w:eastAsia="仿宋_GB2312" w:cs="仿宋_GB2312"/>
      <w:color w:val="000000"/>
      <w:sz w:val="24"/>
      <w:szCs w:val="24"/>
      <w:u w:val="none"/>
    </w:rPr>
  </w:style>
  <w:style w:type="character" w:customStyle="1" w:styleId="9">
    <w:name w:val="font31"/>
    <w:basedOn w:val="5"/>
    <w:qFormat/>
    <w:uiPriority w:val="0"/>
    <w:rPr>
      <w:rFonts w:ascii="黑体" w:hAnsi="宋体" w:eastAsia="黑体" w:cs="黑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尹莉</cp:lastModifiedBy>
  <dcterms:modified xsi:type="dcterms:W3CDTF">2020-06-11T01:02:33Z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